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18</w:t>
      </w:r>
    </w:p>
    <w:p>
      <w:r>
        <w:t>Bundesgericht (BGE), 1994-03-02, DE</w:t>
      </w:r>
    </w:p>
    <w:p>
      <w:r>
        <w:rPr>
          <w:b/>
        </w:rPr>
        <w:t xml:space="preserve">Quelle: </w:t>
      </w:r>
      <w:r>
        <w:t>https://mcp.opencaselaw.ch/entscheid/bge_120 III 18</w:t>
      </w:r>
    </w:p>
    <w:p>
      <w:r>
        <w:t>FR: ATF 120 III 18</w:t>
      </w:r>
    </w:p>
    <w:p>
      <w:r>
        <w:t>IT: DTF 120 III 18</w:t>
      </w:r>
    </w:p>
    <w:p>
      <w:pPr>
        <w:pStyle w:val="Heading2"/>
      </w:pPr>
      <w:r>
        <w:t>Regeste</w:t>
      </w:r>
    </w:p>
    <w:p>
      <w:r>
        <w:t>Regeste Pfändung eines Bankkontos; Verrechnungseinrede. Erhebt die Bank - als Drittschuldnerin - Verrechnungseinrede, so ist kein Widerspruchsverfahren durchzuführen. Vielmehr ist die gegenüber der Bank geltend gemachte Forderung als bestrittene zu pfänden.</w:t>
      </w:r>
    </w:p>
    <w:p>
      <w:pPr>
        <w:pStyle w:val="Heading2"/>
      </w:pPr>
      <w:r>
        <w:t>Erwägungen</w:t>
      </w:r>
    </w:p>
    <w:p>
      <w:r>
        <w:rPr>
          <w:b/>
        </w:rPr>
        <w:t>E. 3</w:t>
      </w:r>
    </w:p>
    <w:p>
      <w:r>
        <w:t>a) Nachdem das Bundesgericht in den ersten drei Jahrzehnten seines Bestehens das Widerspruchsverfahren bezüglich einer Forderung als ausgeschlossen erachtet hatte, weil es dafürhielt, dass an einer Forderung kein Gewahrsam wie an einer körperlichen Sache bestehen könne, wich es von dieser Auffassung erstmals in BGE 29 I 262 ab (siehe dazu FRITZSCHE/WALDER, Schuldbetreibung und Konkurs nach schweizerischem Recht, Band I, Zürich 1984, § 26 N. 38 f.). In ständiger Rechtsprechung wird seither die Möglichkeit des Widerspruchsverfahrens bejaht, wenn eine Forderung gepfändet wird, wobei für die Verteilung der Parteirollen auf die grössere Wahrscheinlichkeit der materiellen Berechtigung abgestellt wird ( BGE 88 III 109 E. 1, S. 115, mit Hinweisen; BGE 97 III 60 E. 1, S. 64; BGE 112 III 90 E. 5, S. 99; BGE 116 III 82 ; FRITZSCHE/WALDER, a.a.O., § 26 N. 40; AMONN, Grundriss des Schuldbetreibungs- und Konkursrechts, 5. Auflage Bern 1993, § 24 N. 15; GILLIÉRON, Poursuite pour dettes, faillite et concordat, 3. Auflage Lausanne 1993, S. 208, B; JOOS, Handbuch für die Betreibungsbeamten der Schweiz, Wädenswil 1964, S. 179). b) Nicht zu beantworten war in der bisherigen Rechtsprechung die Frage, wie es sich mit der Widerspruchsklage verhalte, wenn ein Drittschuldner Verrechnungseinrede erhebt. Auch der von den Rekurrenten zu ihren Gunsten angerufene BGE 116 III 82 hat diese Frage nicht zum Gegenstand. Im Urteil der Schuldbetreibungs- und Konkurskammer des Bundesgerichts vom 31. August BGE 120 III 18 S. 20 1993 stand die Frage zwar im Raum, aber es war noch nicht darüber zu entscheiden.</w:t>
      </w:r>
    </w:p>
    <w:p>
      <w:r>
        <w:rPr>
          <w:b/>
        </w:rPr>
        <w:t>E. 4</w:t>
      </w:r>
    </w:p>
    <w:p>
      <w:r>
        <w:t>Die Aufsichtsbehörde in Betreibungs- und Konkurssachen für den Kanton Bern hat in den angefochtenen Entscheiden, unter Hinweis auf DENZLER (Der Anwendungsbereich des Widerspruchsverfahrens, Zürcher Diss. 1986, S. 82 f.), darauf hingewiesen, dass der Drittschuldner, welcher Verrechnung geltend macht, zum Ausdruck bringe, dass er die Forderung im Umfang der Gegenforderung als getilgt betrachte. Er behaupte damit nicht, die Forderung stehe ihm und nicht dem Betriebenen zu, vielmehr bestreite er Bestand und Höhe der Forderung an sich. Diese Frage aber könne nicht Gegenstand eines Widerspruchsverfahrens sein. Überzeugt schon diese Auffassung, so ist der kantonalen Aufsichtsbehörde auch beizupflichten, wenn sie erklärt, dass mit der behaupteten Tilgung der Forderung durch Verrechnung auch ein allfälliges akzessorisches Pfandrecht untergegangen sei, und wenn sie zum Schluss gelangt, dass die Forderung als bestrittene zu pfänden sei und allenfalls von Gläubigern gemäss Art. 131 Abs. 2 SchKG zur Eintreibung übernommen werden könne. Man gelangt damit zu demselben Ergebnis wie bei der - jetzt nicht mehr zulässigen (vgl. BGE 117 III 52 ) - Lohnabtretung, wo der angeblich abgetretene Betrag ebenfalls als bestrittene Forderung in die Pfändungsurkunde aufzunehmen war, wenn die Gültigkeit der Abtretung bestritten wurde ( BGE 65 III 129 E. 3, S. 132; BGE 66 III 42 ; BGE 88 III 109 , S. 116; FRITZSCHE/WALDER, a.a.O., § 24 N. 77 f., § 26 N. 40 (S. 378); GILLIÉRON, a.a.O., S. 208, B; a.M., das Widerspruchsverfahren befürwortend, BlSchKG 47/1983, S. 222, N. 124; WALDER, Lohnabtretung und Zwangsvollstreckung, Zürich 1975, S. 54 ff.). Somit erweisen sich die angefochtenen Entscheide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